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200"/>
      </w:pPr>
      <w:r>
        <w:rPr/>
        <w:t xml:space="preserve"/>
      </w:r>
    </w:p>
    <w:p>
      <w:pPr>
        <w:jc w:val="center"/>
        <w:spacing w:after="100"/>
      </w:pPr>
      <w:r>
        <w:rPr>
          <w:color w:val="34495E"/>
          <w:sz w:val="88"/>
          <w:szCs w:val="88"/>
          <w:b w:val="1"/>
          <w:bCs w:val="1"/>
        </w:rPr>
        <w:t xml:space="preserve">DeCAfácil</w:t>
      </w:r>
    </w:p>
    <w:p>
      <w:pPr>
        <w:jc w:val="center"/>
        <w:spacing w:after="300"/>
      </w:pPr>
      <w:r>
        <w:rPr>
          <w:color w:val="E67E22"/>
          <w:sz w:val="44"/>
          <w:szCs w:val="44"/>
          <w:b w:val="1"/>
          <w:bCs w:val="1"/>
        </w:rPr>
        <w:t xml:space="preserve">Manual de uso</w:t>
      </w:r>
    </w:p>
    <w:p>
      <w:pPr>
        <w:jc w:val="center"/>
        <w:spacing w:after="80"/>
      </w:pPr>
      <w:r>
        <w:rPr>
          <w:color w:val="5B6773"/>
          <w:sz w:val="26"/>
          <w:szCs w:val="26"/>
        </w:rPr>
        <w:t xml:space="preserve">Documento electrónico de Control Administrativo (DeCA)</w:t>
      </w:r>
    </w:p>
    <w:p>
      <w:pPr>
        <w:jc w:val="center"/>
        <w:spacing w:after="2600"/>
      </w:pPr>
      <w:r>
        <w:rPr>
          <w:color w:val="5B6773"/>
          <w:sz w:val="22"/>
          <w:szCs w:val="22"/>
        </w:rPr>
        <w:t xml:space="preserve">Orden FOM/2861/2012 · Resolución de 5 de junio de 2026</w:t>
      </w:r>
    </w:p>
    <w:p>
      <w:pPr>
        <w:jc w:val="center"/>
        <w:spacing w:after="60"/>
      </w:pPr>
      <w:r>
        <w:rPr>
          <w:color w:val="34495E"/>
          <w:sz w:val="26"/>
          <w:szCs w:val="26"/>
          <w:b w:val="1"/>
          <w:bCs w:val="1"/>
        </w:rPr>
        <w:t xml:space="preserve">https://deca.netsistemas.com</w:t>
      </w:r>
    </w:p>
    <w:p>
      <w:pPr>
        <w:jc w:val="center"/>
      </w:pPr>
      <w:r>
        <w:rPr>
          <w:color w:val="5B6773"/>
          <w:sz w:val="20"/>
          <w:szCs w:val="20"/>
        </w:rPr>
        <w:t xml:space="preserve">Versión 1.2 · Agosto 2026 · Soporte: nts@netsistemas.com</w:t>
      </w:r>
    </w:p>
    <w:p>
      <w:pPr>
        <w:sectPr>
          <w:pgSz w:orient="portrait" w:w="11906" w:h="16838"/>
          <w:pgMar w:top="1300" w:right="1300" w:bottom="1200" w:left="1300" w:header="720" w:footer="720" w:gutter="0"/>
          <w:cols w:num="1" w:space="720"/>
        </w:sectPr>
      </w:pPr>
    </w:p>
    <w:p>
      <w:pPr>
        <w:spacing w:after="160"/>
      </w:pPr>
      <w:r>
        <w:rPr>
          <w:color w:val="34495E"/>
          <w:sz w:val="32"/>
          <w:szCs w:val="32"/>
          <w:b w:val="1"/>
          <w:bCs w:val="1"/>
        </w:rPr>
        <w:t xml:space="preserve">Índice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1-2 \h \z \u</w:instrText>
      </w:r>
      <w:r>
        <w:fldChar w:fldCharType="separate"/>
      </w:r>
      <w:hyperlink w:anchor="_Toc0" w:history="1">
        <w:r>
          <w:rPr>
            <w:sz w:val="20"/>
            <w:szCs w:val="20"/>
          </w:rPr>
          <w:t>1. Qué es el DeCA y para qué sirve la aplicación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" w:history="1">
        <w:r>
          <w:rPr>
            <w:sz w:val="20"/>
            <w:szCs w:val="20"/>
          </w:rPr>
          <w:t>2. Acceso a la aplicación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rPr>
            <w:sz w:val="20"/>
            <w:szCs w:val="20"/>
          </w:rPr>
          <w:t>2.1. Administrador y usuarios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3" w:history="1">
        <w:r>
          <w:rPr>
            <w:sz w:val="20"/>
            <w:szCs w:val="20"/>
          </w:rPr>
          <w:t>3. La pantalla principal: el listado de viajes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4" w:history="1">
        <w:r>
          <w:rPr>
            <w:sz w:val="20"/>
            <w:szCs w:val="20"/>
          </w:rPr>
          <w:t>3.1. Filtros, buscador y exportación</w:t>
        </w:r>
        <w:r>
          <w:tab/>
        </w:r>
        <w:r>
          <w:fldChar w:fldCharType="begin"/>
        </w:r>
        <w:r>
          <w:instrText xml:space="preserve">PAGEREF 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5" w:history="1">
        <w:r>
          <w:rPr>
            <w:sz w:val="20"/>
            <w:szCs w:val="20"/>
          </w:rPr>
          <w:t>3.2. Vista de tarjetas (móvil)</w:t>
        </w:r>
        <w:r>
          <w:tab/>
        </w:r>
        <w:r>
          <w:fldChar w:fldCharType="begin"/>
        </w:r>
        <w:r>
          <w:instrText xml:space="preserve">PAGEREF 5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6" w:history="1">
        <w:r>
          <w:rPr>
            <w:sz w:val="20"/>
            <w:szCs w:val="20"/>
          </w:rPr>
          <w:t>4. Crear un DeCA</w:t>
        </w:r>
        <w:r>
          <w:tab/>
        </w:r>
        <w:r>
          <w:fldChar w:fldCharType="begin"/>
        </w:r>
        <w:r>
          <w:instrText xml:space="preserve">PAGEREF 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7" w:history="1">
        <w:r>
          <w:rPr>
            <w:sz w:val="20"/>
            <w:szCs w:val="20"/>
          </w:rPr>
          <w:t>4.1. Datos del viaje (art. 6 de la Orden FOM/2861/2012)</w:t>
        </w:r>
        <w:r>
          <w:tab/>
        </w:r>
        <w:r>
          <w:fldChar w:fldCharType="begin"/>
        </w:r>
        <w:r>
          <w:instrText xml:space="preserve">PAGEREF 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8" w:history="1">
        <w:r>
          <w:rPr>
            <w:sz w:val="20"/>
            <w:szCs w:val="20"/>
          </w:rPr>
          <w:t>4.2. Gestión del viaje</w:t>
        </w:r>
        <w:r>
          <w:tab/>
        </w:r>
        <w:r>
          <w:fldChar w:fldCharType="begin"/>
        </w:r>
        <w:r>
          <w:instrText xml:space="preserve">PAGEREF 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9" w:history="1">
        <w:r>
          <w:rPr>
            <w:sz w:val="20"/>
            <w:szCs w:val="20"/>
          </w:rPr>
          <w:t>4.3. Modificaciones y versiones</w:t>
        </w:r>
        <w:r>
          <w:tab/>
        </w:r>
        <w:r>
          <w:fldChar w:fldCharType="begin"/>
        </w:r>
        <w:r>
          <w:instrText xml:space="preserve">PAGEREF 9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0" w:history="1">
        <w:r>
          <w:rPr>
            <w:sz w:val="20"/>
            <w:szCs w:val="20"/>
          </w:rPr>
          <w:t>5. Viajes futuros (planificación)</w:t>
        </w:r>
        <w:r>
          <w:tab/>
        </w:r>
        <w:r>
          <w:fldChar w:fldCharType="begin"/>
        </w:r>
        <w:r>
          <w:instrText xml:space="preserve">PAGEREF 10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1" w:history="1">
        <w:r>
          <w:rPr>
            <w:sz w:val="20"/>
            <w:szCs w:val="20"/>
          </w:rPr>
          <w:t>6. Enviar el DeCA al conductor</w:t>
        </w:r>
        <w:r>
          <w:tab/>
        </w:r>
        <w:r>
          <w:fldChar w:fldCharType="begin"/>
        </w:r>
        <w:r>
          <w:instrText xml:space="preserve">PAGEREF 11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2" w:history="1">
        <w:r>
          <w:rPr>
            <w:sz w:val="20"/>
            <w:szCs w:val="20"/>
          </w:rPr>
          <w:t>7. Menú "Más" (solo administrador)</w:t>
        </w:r>
        <w:r>
          <w:tab/>
        </w:r>
        <w:r>
          <w:fldChar w:fldCharType="begin"/>
        </w:r>
        <w:r>
          <w:instrText xml:space="preserve">PAGEREF 12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13" w:history="1">
        <w:r>
          <w:rPr>
            <w:sz w:val="20"/>
            <w:szCs w:val="20"/>
          </w:rPr>
          <w:t>8. Conexión por API REST (integración con su programa de gestión)</w:t>
        </w:r>
        <w:r>
          <w:tab/>
        </w:r>
        <w:r>
          <w:fldChar w:fldCharType="begin"/>
        </w:r>
        <w:r>
          <w:instrText xml:space="preserve">PAGEREF 13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4" w:history="1">
        <w:r>
          <w:rPr>
            <w:sz w:val="20"/>
            <w:szCs w:val="20"/>
          </w:rPr>
          <w:t>8.1. Recursos para el desarrollador</w:t>
        </w:r>
        <w:r>
          <w:tab/>
        </w:r>
        <w:r>
          <w:fldChar w:fldCharType="begin"/>
        </w:r>
        <w:r>
          <w:instrText xml:space="preserve">PAGEREF 14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5" w:history="1">
        <w:r>
          <w:rPr>
            <w:sz w:val="20"/>
            <w:szCs w:val="20"/>
          </w:rPr>
          <w:t>8.2. Conexión y autenticación</w:t>
        </w:r>
        <w:r>
          <w:tab/>
        </w:r>
        <w:r>
          <w:fldChar w:fldCharType="begin"/>
        </w:r>
        <w:r>
          <w:instrText xml:space="preserve">PAGEREF 15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6" w:history="1">
        <w:r>
          <w:rPr>
            <w:sz w:val="20"/>
            <w:szCs w:val="20"/>
          </w:rPr>
          <w:t>8.3. Identificación del registro del ERP</w:t>
        </w:r>
        <w:r>
          <w:tab/>
        </w:r>
        <w:r>
          <w:fldChar w:fldCharType="begin"/>
        </w:r>
        <w:r>
          <w:instrText xml:space="preserve">PAGEREF 16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7" w:history="1">
        <w:r>
          <w:rPr>
            <w:sz w:val="20"/>
            <w:szCs w:val="20"/>
          </w:rPr>
          <w:t>8.4. Sincronizar clientes, vehículos y conductores</w:t>
        </w:r>
        <w:r>
          <w:tab/>
        </w:r>
        <w:r>
          <w:fldChar w:fldCharType="begin"/>
        </w:r>
        <w:r>
          <w:instrText xml:space="preserve">PAGEREF 17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8" w:history="1">
        <w:r>
          <w:rPr>
            <w:sz w:val="20"/>
            <w:szCs w:val="20"/>
          </w:rPr>
          <w:t>8.5. Crear un DeCA (POST)</w:t>
        </w:r>
        <w:r>
          <w:tab/>
        </w:r>
        <w:r>
          <w:fldChar w:fldCharType="begin"/>
        </w:r>
        <w:r>
          <w:instrText xml:space="preserve">PAGEREF 18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9" w:history="1">
        <w:r>
          <w:rPr>
            <w:sz w:val="20"/>
            <w:szCs w:val="20"/>
          </w:rPr>
          <w:t>8.6. Ejemplo completo</w:t>
        </w:r>
        <w:r>
          <w:tab/>
        </w:r>
        <w:r>
          <w:fldChar w:fldCharType="begin"/>
        </w:r>
        <w:r>
          <w:instrText xml:space="preserve">PAGEREF 19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0" w:history="1">
        <w:r>
          <w:rPr>
            <w:sz w:val="20"/>
            <w:szCs w:val="20"/>
          </w:rPr>
          <w:t>8.7. Actualizar, consultar, buscar y listar</w:t>
        </w:r>
        <w:r>
          <w:tab/>
        </w:r>
        <w:r>
          <w:fldChar w:fldCharType="begin"/>
        </w:r>
        <w:r>
          <w:instrText xml:space="preserve">PAGEREF 20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1" w:history="1">
        <w:r>
          <w:rPr>
            <w:sz w:val="20"/>
            <w:szCs w:val="20"/>
          </w:rPr>
          <w:t>8.8. Errores</w:t>
        </w:r>
        <w:r>
          <w:tab/>
        </w:r>
        <w:r>
          <w:fldChar w:fldCharType="begin"/>
        </w:r>
        <w:r>
          <w:instrText xml:space="preserve">PAGEREF 21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2" w:history="1">
        <w:r>
          <w:rPr>
            <w:sz w:val="20"/>
            <w:szCs w:val="20"/>
          </w:rPr>
          <w:t>9. Preguntas frecuentes</w:t>
        </w:r>
        <w:r>
          <w:tab/>
        </w:r>
        <w:r>
          <w:fldChar w:fldCharType="begin"/>
        </w:r>
        <w:r>
          <w:instrText xml:space="preserve">PAGEREF 22 \h</w:instrText>
        </w:r>
        <w:r>
          <w:fldChar w:fldCharType="end"/>
        </w:r>
      </w:hyperlink>
    </w:p>
    <w:p>
      <w:pPr>
        <w:tabs>
          <w:tab w:val="right" w:leader="dot" w:pos="9062"/>
        </w:tabs>
      </w:pPr>
      <w:hyperlink w:anchor="_Toc23" w:history="1">
        <w:r>
          <w:rPr>
            <w:sz w:val="20"/>
            <w:szCs w:val="20"/>
          </w:rPr>
          <w:t>10. Soporte y condiciones</w:t>
        </w:r>
        <w:r>
          <w:tab/>
        </w:r>
        <w:r>
          <w:fldChar w:fldCharType="begin"/>
        </w:r>
        <w:r>
          <w:instrText xml:space="preserve">PAGEREF 23 \h</w:instrText>
        </w:r>
        <w:r>
          <w:fldChar w:fldCharType="end"/>
        </w:r>
      </w:hyperlink>
    </w:p>
    <w:p>
      <w:r>
        <w:fldChar w:fldCharType="end"/>
      </w:r>
    </w:p>
    <w:p>
      <w:r>
        <w:br w:type="page"/>
      </w:r>
    </w:p>
    <w:p>
      <w:pPr>
        <w:pStyle w:val="Heading1"/>
      </w:pPr>
      <w:bookmarkStart w:id="0" w:name="_Toc0"/>
      <w:r>
        <w:t>1. Qué es el DeCA y para qué sirve la aplicación</w:t>
      </w:r>
      <w:bookmarkEnd w:id="0"/>
    </w:p>
    <w:p>
      <w:pPr>
        <w:pStyle w:val="P"/>
      </w:pPr>
      <w:r>
        <w:rPr/>
        <w:t xml:space="preserve">El DeCA (Documento electrónico de Control Administrativo) es el documento que debe acompañar a todo transporte nacional de mercancías por carretera. Está regulado por la Orden FOM/2861/2012 y por la Resolución de 5 de junio de 2026 (BOE 12/6/2026), y es obligatorio en formato electrónico desde el 5 de octubre de 2026, sin prórrogas.</w:t>
      </w:r>
    </w:p>
    <w:p>
      <w:pPr>
        <w:pStyle w:val="P"/>
      </w:pPr>
      <w:r>
        <w:rPr/>
        <w:t xml:space="preserve">DeCAfácil genera ese documento en segundos: usted rellena los datos del viaje y la aplicación crea automáticamente el PDF oficial con su código QR y una dirección de descarga única (URL) que puede enviar al conductor. En un control de carretera basta con mostrar el PDF en el móvil o dejar que el agente escanee el QR.</w:t>
      </w:r>
    </w:p>
    <w:p>
      <w:pPr>
        <w:pStyle w:val="P"/>
        <w:numPr>
          <w:ilvl w:val="0"/>
          <w:numId w:val="6"/>
        </w:numPr>
      </w:pPr>
      <w:r>
        <w:rPr/>
        <w:t xml:space="preserve">No hay que instalar nada: funciona en el navegador del ordenador, la tablet y el móvil.</w:t>
      </w:r>
    </w:p>
    <w:p>
      <w:pPr>
        <w:pStyle w:val="P"/>
        <w:numPr>
          <w:ilvl w:val="0"/>
          <w:numId w:val="6"/>
        </w:numPr>
      </w:pPr>
      <w:r>
        <w:rPr/>
        <w:t xml:space="preserve">No hay que enviar nada al Ministerio ni certificar la aplicación.</w:t>
      </w:r>
    </w:p>
    <w:p>
      <w:pPr>
        <w:pStyle w:val="P"/>
        <w:numPr>
          <w:ilvl w:val="0"/>
          <w:numId w:val="6"/>
        </w:numPr>
      </w:pPr>
      <w:r>
        <w:rPr/>
        <w:t xml:space="preserve">Los documentos quedan guardados y descargables durante el plazo legal de conservación (1 año).</w:t>
      </w:r>
    </w:p>
    <w:p>
      <w:pPr>
        <w:pStyle w:val="Heading1"/>
      </w:pPr>
      <w:bookmarkStart w:id="1" w:name="_Toc1"/>
      <w:r>
        <w:t>2. Acceso a la aplicación</w:t>
      </w:r>
      <w:bookmarkEnd w:id="1"/>
    </w:p>
    <w:p>
      <w:pPr>
        <w:pStyle w:val="P"/>
      </w:pPr>
      <w:r>
        <w:rPr/>
        <w:t xml:space="preserve">Entre en https://deca.netsistemas.com y pulse "Acceder". El acceso tiene tres campos:</w:t>
      </w:r>
    </w:p>
    <w:tbl>
      <w:tblGrid>
        <w:gridCol w:w="2300" w:type="dxa"/>
        <w:gridCol w:w="6900" w:type="dxa"/>
      </w:tblGrid>
      <w:tblPr>
        <w:tblStyle w:val="T"/>
      </w:tblPr>
      <w:tr>
        <w:trPr>
          <w:tblHeader w:val="1"/>
          <w:cantSplit w:val="1"/>
        </w:trPr>
        <w:tc>
          <w:tcPr>
            <w:tcW w:w="23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Campo</w:t>
            </w:r>
          </w:p>
        </w:tc>
        <w:tc>
          <w:tcPr>
            <w:tcW w:w="69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Qué escribir</w:t>
            </w:r>
          </w:p>
        </w:tc>
      </w:tr>
      <w:tr>
        <w:trPr/>
        <w:tc>
          <w:tcPr>
            <w:tcW w:w="2300" w:type="dxa"/>
            <w:noWrap/>
          </w:tcPr>
          <w:p>
            <w:pPr/>
            <w:r>
              <w:rPr>
                <w:b w:val="1"/>
                <w:bCs w:val="1"/>
              </w:rPr>
              <w:t xml:space="preserve">Empresa</w:t>
            </w:r>
          </w:p>
        </w:tc>
        <w:tc>
          <w:tcPr>
            <w:tcW w:w="6900" w:type="dxa"/>
            <w:noWrap/>
          </w:tcPr>
          <w:p>
            <w:pPr/>
            <w:r>
              <w:rPr/>
              <w:t xml:space="preserve">El nombre de su empresa, tal como se le facilitó en el alta.</w:t>
            </w:r>
          </w:p>
        </w:tc>
      </w:tr>
      <w:tr>
        <w:trPr/>
        <w:tc>
          <w:tcPr>
            <w:tcW w:w="2300" w:type="dxa"/>
            <w:noWrap/>
          </w:tcPr>
          <w:p>
            <w:pPr/>
            <w:r>
              <w:rPr>
                <w:b w:val="1"/>
                <w:bCs w:val="1"/>
              </w:rPr>
              <w:t xml:space="preserve">Usuario</w:t>
            </w:r>
          </w:p>
        </w:tc>
        <w:tc>
          <w:tcPr>
            <w:tcW w:w="6900" w:type="dxa"/>
            <w:noWrap/>
          </w:tcPr>
          <w:p>
            <w:pPr/>
            <w:r>
              <w:rPr/>
              <w:t xml:space="preserve">Su nombre de usuario. El ADMINISTRADOR escribe aquí el mismo nombre de la empresa.</w:t>
            </w:r>
          </w:p>
        </w:tc>
      </w:tr>
      <w:tr>
        <w:trPr/>
        <w:tc>
          <w:tcPr>
            <w:tcW w:w="2300" w:type="dxa"/>
            <w:noWrap/>
          </w:tcPr>
          <w:p>
            <w:pPr/>
            <w:r>
              <w:rPr>
                <w:b w:val="1"/>
                <w:bCs w:val="1"/>
              </w:rPr>
              <w:t xml:space="preserve">Clave</w:t>
            </w:r>
          </w:p>
        </w:tc>
        <w:tc>
          <w:tcPr>
            <w:tcW w:w="6900" w:type="dxa"/>
            <w:noWrap/>
          </w:tcPr>
          <w:p>
            <w:pPr/>
            <w:r>
              <w:rPr/>
              <w:t xml:space="preserve">Su clave personal.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Heading2"/>
      </w:pPr>
      <w:bookmarkStart w:id="2" w:name="_Toc2"/>
      <w:r>
        <w:t>2.1. Administrador y usuarios</w:t>
      </w:r>
      <w:bookmarkEnd w:id="2"/>
    </w:p>
    <w:p>
      <w:pPr>
        <w:pStyle w:val="P"/>
      </w:pPr>
      <w:r>
        <w:rPr/>
        <w:t xml:space="preserve">Cada empresa tiene un administrador (usuario = nombre de la empresa) que ve todas las opciones, y puede crear usuarios adicionales para su personal. Los usuarios normales pueden crear y gestionar viajes, pero no acceden a la gestión de clientes, conductores, usuarios, estadísticas ni descarga masiva.</w:t>
      </w:r>
    </w:p>
    <w:p>
      <w:pPr>
        <w:pStyle w:val="P"/>
        <w:numPr>
          <w:ilvl w:val="0"/>
          <w:numId w:val="6"/>
        </w:numPr>
      </w:pPr>
      <w:r>
        <w:rPr/>
        <w:t xml:space="preserve">Cualquier persona puede cambiar su propia clave desde "Cambiar clave", en la barra superior.</w:t>
      </w:r>
    </w:p>
    <w:p>
      <w:pPr>
        <w:pStyle w:val="P"/>
        <w:numPr>
          <w:ilvl w:val="0"/>
          <w:numId w:val="6"/>
        </w:numPr>
      </w:pPr>
      <w:r>
        <w:rPr/>
        <w:t xml:space="preserve">Tras varios intentos de acceso fallidos, el sistema se bloquea 15 minutos por seguridad.</w:t>
      </w:r>
    </w:p>
    <w:p>
      <w:pPr>
        <w:pStyle w:val="Nota"/>
      </w:pPr>
      <w:r>
        <w:rPr>
          <w:color w:val="5B6773"/>
          <w:sz w:val="20"/>
          <w:szCs w:val="20"/>
          <w:i w:val="1"/>
          <w:iCs w:val="1"/>
        </w:rPr>
        <w:t xml:space="preserve">ℹ Para probar sin compromiso existe una empresa de demostración: escriba DEMO en los tres campos. Sus datos se eliminan periódicamente.</w:t>
      </w:r>
    </w:p>
    <w:p>
      <w:pPr>
        <w:pStyle w:val="Heading1"/>
      </w:pPr>
      <w:bookmarkStart w:id="3" w:name="_Toc3"/>
      <w:r>
        <w:t>3. La pantalla principal: el listado de viajes</w:t>
      </w:r>
      <w:bookmarkEnd w:id="3"/>
    </w:p>
    <w:p>
      <w:pPr>
        <w:pStyle w:val="P"/>
      </w:pPr>
      <w:r>
        <w:rPr/>
        <w:t xml:space="preserve">Al entrar verá los viajes "vivos" de su empresa: los que tienen fecha y no están terminados ni anulados. Desde cada viaje puede:</w:t>
      </w:r>
    </w:p>
    <w:p>
      <w:pPr>
        <w:pStyle w:val="P"/>
        <w:numPr>
          <w:ilvl w:val="0"/>
          <w:numId w:val="6"/>
        </w:numPr>
      </w:pPr>
      <w:r>
        <w:rPr/>
        <w:t xml:space="preserve">PDF: abrir el documento oficial.</w:t>
      </w:r>
    </w:p>
    <w:p>
      <w:pPr>
        <w:pStyle w:val="P"/>
        <w:numPr>
          <w:ilvl w:val="0"/>
          <w:numId w:val="6"/>
        </w:numPr>
      </w:pPr>
      <w:r>
        <w:rPr/>
        <w:t xml:space="preserve">Ver QR: mostrar el código QR en grande (por ejemplo, para que lo escaneen de su pantalla).</w:t>
      </w:r>
    </w:p>
    <w:p>
      <w:pPr>
        <w:pStyle w:val="P"/>
        <w:numPr>
          <w:ilvl w:val="0"/>
          <w:numId w:val="6"/>
        </w:numPr>
      </w:pPr>
      <w:r>
        <w:rPr/>
        <w:t xml:space="preserve">Copiar URL: copiar la dirección pública del documento para pegarla donde quiera.</w:t>
      </w:r>
    </w:p>
    <w:p>
      <w:pPr>
        <w:pStyle w:val="P"/>
        <w:numPr>
          <w:ilvl w:val="0"/>
          <w:numId w:val="6"/>
        </w:numPr>
      </w:pPr>
      <w:r>
        <w:rPr/>
        <w:t xml:space="preserve">WhatsApp: enviárselo a un conductor (véase el apartado 6).</w:t>
      </w:r>
    </w:p>
    <w:p>
      <w:pPr>
        <w:pStyle w:val="P"/>
        <w:numPr>
          <w:ilvl w:val="0"/>
          <w:numId w:val="6"/>
        </w:numPr>
      </w:pPr>
      <w:r>
        <w:rPr/>
        <w:t xml:space="preserve">Modificar: cambiar datos (se genera una versión nueva del PDF; la URL no cambia).</w:t>
      </w:r>
    </w:p>
    <w:p>
      <w:pPr>
        <w:pStyle w:val="P"/>
        <w:numPr>
          <w:ilvl w:val="0"/>
          <w:numId w:val="6"/>
        </w:numPr>
      </w:pPr>
      <w:r>
        <w:rPr/>
        <w:t xml:space="preserve">Duplicar: crear un viaje nuevo copiando todos los datos de otro (ideal para rutas repetidas).</w:t>
      </w:r>
    </w:p>
    <w:p>
      <w:pPr>
        <w:pStyle w:val="Heading2"/>
      </w:pPr>
      <w:bookmarkStart w:id="4" w:name="_Toc4"/>
      <w:r>
        <w:t>3.1. Filtros, buscador y exportación</w:t>
      </w:r>
      <w:bookmarkEnd w:id="4"/>
    </w:p>
    <w:p>
      <w:pPr>
        <w:pStyle w:val="P"/>
        <w:numPr>
          <w:ilvl w:val="0"/>
          <w:numId w:val="6"/>
        </w:numPr>
      </w:pPr>
      <w:r>
        <w:rPr/>
        <w:t xml:space="preserve">Pulse "FILTROS" para abrir la búsqueda, los estados y el intervalo de fechas.</w:t>
      </w:r>
    </w:p>
    <w:p>
      <w:pPr>
        <w:pStyle w:val="P"/>
        <w:numPr>
          <w:ilvl w:val="0"/>
          <w:numId w:val="6"/>
        </w:numPr>
      </w:pPr>
      <w:r>
        <w:rPr/>
        <w:t xml:space="preserve">Buscador: busca a la vez en cargador, origen, destino, mercancía, matrículas y nº de albarán.</w:t>
      </w:r>
    </w:p>
    <w:p>
      <w:pPr>
        <w:pStyle w:val="P"/>
        <w:numPr>
          <w:ilvl w:val="0"/>
          <w:numId w:val="6"/>
        </w:numPr>
      </w:pPr>
      <w:r>
        <w:rPr/>
        <w:t xml:space="preserve">Fecha: elija creación, modificación, registro o transporte; las fechas desde y hasta son opcionales.</w:t>
      </w:r>
    </w:p>
    <w:p>
      <w:pPr>
        <w:pStyle w:val="P"/>
        <w:numPr>
          <w:ilvl w:val="0"/>
          <w:numId w:val="6"/>
        </w:numPr>
      </w:pPr>
      <w:r>
        <w:rPr/>
        <w:t xml:space="preserve">Checks "Solo futuros / Solo terminados / Solo anulados": muestran únicamente esa categoría.</w:t>
      </w:r>
    </w:p>
    <w:p>
      <w:pPr>
        <w:pStyle w:val="P"/>
        <w:numPr>
          <w:ilvl w:val="0"/>
          <w:numId w:val="6"/>
        </w:numPr>
      </w:pPr>
      <w:r>
        <w:rPr/>
        <w:t xml:space="preserve">Ordenación: pulse el encabezado de una columna para ordenar en sentido ascendente o descendente.</w:t>
      </w:r>
    </w:p>
    <w:p>
      <w:pPr>
        <w:pStyle w:val="P"/>
        <w:numPr>
          <w:ilvl w:val="0"/>
          <w:numId w:val="6"/>
        </w:numPr>
      </w:pPr>
      <w:r>
        <w:rPr/>
        <w:t xml:space="preserve">Exportar CSV: descarga en Excel lo que esté viendo (respeta filtros y búsqueda).</w:t>
      </w:r>
    </w:p>
    <w:p>
      <w:pPr>
        <w:pStyle w:val="P"/>
        <w:numPr>
          <w:ilvl w:val="0"/>
          <w:numId w:val="6"/>
        </w:numPr>
      </w:pPr>
      <w:r>
        <w:rPr/>
        <w:t xml:space="preserve">El listado se pagina automáticamente de 25 en 25 viajes.</w:t>
      </w:r>
    </w:p>
    <w:p>
      <w:pPr>
        <w:pStyle w:val="Heading2"/>
      </w:pPr>
      <w:bookmarkStart w:id="5" w:name="_Toc5"/>
      <w:r>
        <w:t>3.2. Vista de tarjetas (móvil)</w:t>
      </w:r>
      <w:bookmarkEnd w:id="5"/>
    </w:p>
    <w:p>
      <w:pPr>
        <w:pStyle w:val="P"/>
      </w:pPr>
      <w:r>
        <w:rPr/>
        <w:t xml:space="preserve">El botón "Ver tarjetas" cambia a un formato de fichas con el QR visible, pensado para el móvil (en pantallas pequeñas se activa solo). "Ver lista" vuelve a la tabla clásica. La aplicación recuerda su preferencia.</w:t>
      </w:r>
    </w:p>
    <w:p>
      <w:pPr>
        <w:pStyle w:val="Heading1"/>
      </w:pPr>
      <w:bookmarkStart w:id="6" w:name="_Toc6"/>
      <w:r>
        <w:t>4. Crear un DeCA</w:t>
      </w:r>
      <w:bookmarkEnd w:id="6"/>
    </w:p>
    <w:p>
      <w:pPr>
        <w:pStyle w:val="P"/>
      </w:pPr>
      <w:r>
        <w:rPr/>
        <w:t xml:space="preserve">Pulse "+ Nuevo". El primer campo es la FECHA DEL VIAJE, y de ella depende todo:</w:t>
      </w:r>
    </w:p>
    <w:p>
      <w:pPr>
        <w:pStyle w:val="P"/>
        <w:numPr>
          <w:ilvl w:val="0"/>
          <w:numId w:val="6"/>
        </w:numPr>
      </w:pPr>
      <w:r>
        <w:rPr>
          <w:b w:val="1"/>
          <w:bCs w:val="1"/>
        </w:rPr>
        <w:t xml:space="preserve">CON fecha: es un documento oficial. Se exigen los datos del art. 6 y al guardar se genera el PDF con QR y URL.</w:t>
      </w:r>
    </w:p>
    <w:p>
      <w:pPr>
        <w:pStyle w:val="P"/>
        <w:numPr>
          <w:ilvl w:val="0"/>
          <w:numId w:val="6"/>
        </w:numPr>
      </w:pPr>
      <w:r>
        <w:rPr>
          <w:b w:val="1"/>
          <w:bCs w:val="1"/>
        </w:rPr>
        <w:t xml:space="preserve">SIN fecha: es un viaje futuro (borrador). No se exige ningún dato y NO se genera PDF hasta que le ponga fecha.</w:t>
      </w:r>
    </w:p>
    <w:p>
      <w:pPr>
        <w:pStyle w:val="Heading2"/>
      </w:pPr>
      <w:bookmarkStart w:id="7" w:name="_Toc7"/>
      <w:r>
        <w:t>4.1. Datos del viaje (art. 6 de la Orden FOM/2861/2012)</w:t>
      </w:r>
      <w:bookmarkEnd w:id="7"/>
    </w:p>
    <w:tbl>
      <w:tblGrid>
        <w:gridCol w:w="2900" w:type="dxa"/>
        <w:gridCol w:w="6300" w:type="dxa"/>
      </w:tblGrid>
      <w:tblPr>
        <w:tblStyle w:val="T"/>
      </w:tblPr>
      <w:tr>
        <w:trPr>
          <w:tblHeader w:val="1"/>
          <w:cantSplit w:val="1"/>
        </w:trPr>
        <w:tc>
          <w:tcPr>
            <w:tcW w:w="29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Dato</w:t>
            </w:r>
          </w:p>
        </w:tc>
        <w:tc>
          <w:tcPr>
            <w:tcW w:w="63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Detalle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Cargador contractual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Nombre o razón social, NIF y domicilio. Si elige un cliente del desplegable, se rellenan solos. El botón "Repetir último cargador" copia el del viaje anterior.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Transportista efectivo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Precargado con los datos de su empresa; editable.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Origen y destino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Lugares de origen y destino del envío.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Naturaleza de la mercancía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Descripción de lo que se transporta.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Peso u otra magnitud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Peso en kg, o si es difícil de precisar, otra magnitud (bultos, m³...). Al menos uno de los dos.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Matrículas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La tractora es obligatoria; el remolque, opcional. Los campos autocompletan con las matrículas ya usadas.</w:t>
            </w:r>
          </w:p>
        </w:tc>
      </w:tr>
      <w:tr>
        <w:trPr/>
        <w:tc>
          <w:tcPr>
            <w:tcW w:w="2900" w:type="dxa"/>
            <w:noWrap/>
          </w:tcPr>
          <w:p>
            <w:pPr/>
            <w:r>
              <w:rPr>
                <w:b w:val="1"/>
                <w:bCs w:val="1"/>
              </w:rPr>
              <w:t xml:space="preserve">Observaciones</w:t>
            </w:r>
          </w:p>
        </w:tc>
        <w:tc>
          <w:tcPr>
            <w:tcW w:w="6300" w:type="dxa"/>
            <w:noWrap/>
          </w:tcPr>
          <w:p>
            <w:pPr/>
            <w:r>
              <w:rPr/>
              <w:t xml:space="preserve">Opcional.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Heading2"/>
      </w:pPr>
      <w:bookmarkStart w:id="8" w:name="_Toc8"/>
      <w:r>
        <w:t>4.2. Gestión del viaje</w:t>
      </w:r>
      <w:bookmarkEnd w:id="8"/>
    </w:p>
    <w:p>
      <w:pPr>
        <w:pStyle w:val="P"/>
        <w:numPr>
          <w:ilvl w:val="0"/>
          <w:numId w:val="6"/>
        </w:numPr>
      </w:pPr>
      <w:r>
        <w:rPr/>
        <w:t xml:space="preserve">Viaje terminado: márquelo al concluir; desaparece del listado por defecto.</w:t>
      </w:r>
    </w:p>
    <w:p>
      <w:pPr>
        <w:pStyle w:val="P"/>
        <w:numPr>
          <w:ilvl w:val="0"/>
          <w:numId w:val="6"/>
        </w:numPr>
      </w:pPr>
      <w:r>
        <w:rPr/>
        <w:t xml:space="preserve">Viaje anulado: para viajes que no se realizarán. No se borra nada: queda archivado.</w:t>
      </w:r>
    </w:p>
    <w:p>
      <w:pPr>
        <w:pStyle w:val="P"/>
        <w:numPr>
          <w:ilvl w:val="0"/>
          <w:numId w:val="6"/>
        </w:numPr>
      </w:pPr>
      <w:r>
        <w:rPr/>
        <w:t xml:space="preserve">Albaranado + nº de albarán: anote en qué albarán ha facturado el viaje.</w:t>
      </w:r>
    </w:p>
    <w:p>
      <w:pPr>
        <w:pStyle w:val="Heading2"/>
      </w:pPr>
      <w:bookmarkStart w:id="9" w:name="_Toc9"/>
      <w:r>
        <w:t>4.3. Modificaciones y versiones</w:t>
      </w:r>
      <w:bookmarkEnd w:id="9"/>
    </w:p>
    <w:p>
      <w:pPr>
        <w:pStyle w:val="P"/>
      </w:pPr>
      <w:r>
        <w:rPr/>
        <w:t xml:space="preserve">Cada vez que guarda una modificación se genera una versión nueva del PDF con su fecha y hora. Las versiones anteriores se conservan siempre (lo exige la norma) y la URL y el QR no cambian: quien abra el enlace recibe automáticamente la última versión.</w:t>
      </w:r>
    </w:p>
    <w:p>
      <w:pPr>
        <w:pStyle w:val="Heading1"/>
      </w:pPr>
      <w:bookmarkStart w:id="10" w:name="_Toc10"/>
      <w:r>
        <w:t>5. Viajes futuros (planificación)</w:t>
      </w:r>
      <w:bookmarkEnd w:id="10"/>
    </w:p>
    <w:p>
      <w:pPr>
        <w:pStyle w:val="P"/>
      </w:pPr>
      <w:r>
        <w:rPr/>
        <w:t xml:space="preserve">Puede registrar viajes con antelación sin conocer aún la fecha: déjela vacía y guarde. El viaje queda como "Futuro" (visible con el check "Solo futuros") y no aparece en el listado normal ni tiene PDF. Cuando se confirme, entre en "Modificar", ponga la fecha y guarde: en ese momento se genera el documento oficial y su URL.</w:t>
      </w:r>
    </w:p>
    <w:p>
      <w:pPr>
        <w:pStyle w:val="Heading1"/>
      </w:pPr>
      <w:bookmarkStart w:id="11" w:name="_Toc11"/>
      <w:r>
        <w:t>6. Enviar el DeCA al conductor</w:t>
      </w:r>
      <w:bookmarkEnd w:id="11"/>
    </w:p>
    <w:p>
      <w:pPr>
        <w:pStyle w:val="P"/>
      </w:pPr>
      <w:r>
        <w:rPr/>
        <w:t xml:space="preserve">El conductor solo necesita la URL del documento (o el propio PDF). Tres formas:</w:t>
      </w:r>
    </w:p>
    <w:p>
      <w:pPr>
        <w:pStyle w:val="P"/>
        <w:numPr>
          <w:ilvl w:val="0"/>
          <w:numId w:val="6"/>
        </w:numPr>
      </w:pPr>
      <w:r>
        <w:rPr/>
        <w:t xml:space="preserve">WhatsApp: el botón verde prepara el mensaje con el enlace. Si ha dado de alta a sus conductores con su teléfono (menú Más → Conductores), se lo envía directo a su número, sin buscar el contacto.</w:t>
      </w:r>
    </w:p>
    <w:p>
      <w:pPr>
        <w:pStyle w:val="P"/>
        <w:numPr>
          <w:ilvl w:val="0"/>
          <w:numId w:val="6"/>
        </w:numPr>
      </w:pPr>
      <w:r>
        <w:rPr/>
        <w:t xml:space="preserve">Copiar URL: pegue el enlace en un correo, SMS o donde prefiera.</w:t>
      </w:r>
    </w:p>
    <w:p>
      <w:pPr>
        <w:pStyle w:val="P"/>
        <w:numPr>
          <w:ilvl w:val="0"/>
          <w:numId w:val="6"/>
        </w:numPr>
      </w:pPr>
      <w:r>
        <w:rPr/>
        <w:t xml:space="preserve">Ver QR: muestre el código en pantalla para que el conductor lo escanee.</w:t>
      </w:r>
    </w:p>
    <w:p>
      <w:pPr>
        <w:pStyle w:val="P"/>
      </w:pPr>
      <w:r>
        <w:rPr/>
        <w:t xml:space="preserve">En un control de carretera, el conductor muestra el PDF en su móvil o el agente escanea el QR impreso en el propio documento: la descarga es directa, por HTTPS y sin usuario ni clave, tal como exige la Resolución.</w:t>
      </w:r>
    </w:p>
    <w:p>
      <w:pPr>
        <w:pStyle w:val="Heading1"/>
      </w:pPr>
      <w:bookmarkStart w:id="12" w:name="_Toc12"/>
      <w:r>
        <w:t>7. Menú "Más" (solo administrador)</w:t>
      </w:r>
      <w:bookmarkEnd w:id="12"/>
    </w:p>
    <w:tbl>
      <w:tblGrid>
        <w:gridCol w:w="2700" w:type="dxa"/>
        <w:gridCol w:w="6500" w:type="dxa"/>
      </w:tblGrid>
      <w:tblPr>
        <w:tblStyle w:val="T"/>
      </w:tblPr>
      <w:tr>
        <w:trPr>
          <w:tblHeader w:val="1"/>
          <w:cantSplit w:val="1"/>
        </w:trPr>
        <w:tc>
          <w:tcPr>
            <w:tcW w:w="27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Opción</w:t>
            </w:r>
          </w:p>
        </w:tc>
        <w:tc>
          <w:tcPr>
            <w:tcW w:w="65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Para qué sirve</w:t>
            </w:r>
          </w:p>
        </w:tc>
      </w:tr>
      <w:tr>
        <w:trPr/>
        <w:tc>
          <w:tcPr>
            <w:tcW w:w="2700" w:type="dxa"/>
            <w:noWrap/>
          </w:tcPr>
          <w:p>
            <w:pPr/>
            <w:r>
              <w:rPr>
                <w:b w:val="1"/>
                <w:bCs w:val="1"/>
              </w:rPr>
              <w:t xml:space="preserve">Clientes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Sus cargadores habituales. Aparecen en el desplegable del formulario y rellenan el cargador con un toque.</w:t>
            </w:r>
          </w:p>
        </w:tc>
      </w:tr>
      <w:tr>
        <w:trPr/>
        <w:tc>
          <w:tcPr>
            <w:tcW w:w="2700" w:type="dxa"/>
            <w:noWrap/>
          </w:tcPr>
          <w:p>
            <w:pPr/>
            <w:r>
              <w:rPr>
                <w:b w:val="1"/>
                <w:bCs w:val="1"/>
              </w:rPr>
              <w:t xml:space="preserve">Conductores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Nombre y móvil de sus conductores, para el envío directo por WhatsApp.</w:t>
            </w:r>
          </w:p>
        </w:tc>
      </w:tr>
      <w:tr>
        <w:trPr/>
        <w:tc>
          <w:tcPr>
            <w:tcW w:w="2700" w:type="dxa"/>
            <w:noWrap/>
          </w:tcPr>
          <w:p>
            <w:pPr/>
            <w:r>
              <w:rPr>
                <w:b w:val="1"/>
                <w:bCs w:val="1"/>
              </w:rPr>
              <w:t xml:space="preserve">Usuarios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Personas de su empresa con acceso propio. Puede desactivarlos o cambiarles la clave en cualquier momento.</w:t>
            </w:r>
          </w:p>
        </w:tc>
      </w:tr>
      <w:tr>
        <w:trPr/>
        <w:tc>
          <w:tcPr>
            <w:tcW w:w="2700" w:type="dxa"/>
            <w:noWrap/>
          </w:tcPr>
          <w:p>
            <w:pPr/>
            <w:r>
              <w:rPr>
                <w:b w:val="1"/>
                <w:bCs w:val="1"/>
              </w:rPr>
              <w:t xml:space="preserve">Estadísticas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Viajes y kilos transportados por mes y por cliente.</w:t>
            </w:r>
          </w:p>
        </w:tc>
      </w:tr>
      <w:tr>
        <w:trPr/>
        <w:tc>
          <w:tcPr>
            <w:tcW w:w="2700" w:type="dxa"/>
            <w:noWrap/>
          </w:tcPr>
          <w:p>
            <w:pPr/>
            <w:r>
              <w:rPr>
                <w:b w:val="1"/>
                <w:bCs w:val="1"/>
              </w:rPr>
              <w:t xml:space="preserve">Descarga masiva (ZIP)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Descarga en un ZIP todos los PDFs de un rango de fechas: para inspecciones, su gestoría o su propia copia de seguridad.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Nota"/>
      </w:pPr>
      <w:r>
        <w:rPr>
          <w:color w:val="5B6773"/>
          <w:sz w:val="20"/>
          <w:szCs w:val="20"/>
          <w:i w:val="1"/>
          <w:iCs w:val="1"/>
        </w:rPr>
        <w:t xml:space="preserve">ℹ Recomendación: descargue periódicamente el CSV y el ZIP como copia de seguridad propia. La conservación de sus datos es responsabilidad de su empresa (véase legal.php en la web).</w:t>
      </w:r>
    </w:p>
    <w:p>
      <w:pPr>
        <w:pStyle w:val="Heading1"/>
      </w:pPr>
      <w:bookmarkStart w:id="13" w:name="_Toc13"/>
      <w:r>
        <w:t>8. Conexión por API REST (integración con su programa de gestión)</w:t>
      </w:r>
      <w:bookmarkEnd w:id="13"/>
    </w:p>
    <w:p>
      <w:pPr>
        <w:pStyle w:val="P"/>
      </w:pPr>
      <w:r>
        <w:rPr/>
        <w:t xml:space="preserve">La API permite que su ERP o programa de facturación cree los DeCA automáticamente: al hacer el albarán del viaje, su programa envía los datos y recibe al instante la URL del documento oficial con el PDF ya generado. También permite preparar viajes sin fecha, modificarlos y consultar su estado.</w:t>
      </w:r>
    </w:p>
    <w:p>
      <w:pPr>
        <w:pStyle w:val="P"/>
      </w:pPr>
      <w:r>
        <w:rPr/>
        <w:t xml:space="preserve">Para activarla, solicite su clave de API a nts@netsistemas.com. La clave es exclusiva de su empresa: guárdela como una contraseña.</w:t>
      </w:r>
    </w:p>
    <w:p>
      <w:pPr>
        <w:pStyle w:val="Heading2"/>
      </w:pPr>
      <w:bookmarkStart w:id="14" w:name="_Toc14"/>
      <w:r>
        <w:t>8.1. Recursos para el desarrollador</w:t>
      </w:r>
      <w:bookmarkEnd w:id="14"/>
    </w:p>
    <w:tbl>
      <w:tblGrid>
        <w:gridCol w:w="3100" w:type="dxa"/>
        <w:gridCol w:w="6100" w:type="dxa"/>
      </w:tblGrid>
      <w:tblPr>
        <w:tblStyle w:val="T"/>
      </w:tblPr>
      <w:tr>
        <w:trPr>
          <w:tblHeader w:val="1"/>
          <w:cantSplit w:val="1"/>
        </w:trPr>
        <w:tc>
          <w:tcPr>
            <w:tcW w:w="31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Recurso</w:t>
            </w:r>
          </w:p>
        </w:tc>
        <w:tc>
          <w:tcPr>
            <w:tcW w:w="61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Dirección y uso</w:t>
            </w:r>
          </w:p>
        </w:tc>
      </w:tr>
      <w:tr>
        <w:trPr/>
        <w:tc>
          <w:tcPr>
            <w:tcW w:w="31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Guía de integración ERP</w:t>
            </w:r>
          </w:p>
        </w:tc>
        <w:tc>
          <w:tcPr>
            <w:tcW w:w="6100" w:type="dxa"/>
            <w:noWrap/>
          </w:tcPr>
          <w:p>
            <w:pPr/>
            <w:r>
              <w:rPr>
                <w:sz w:val="19"/>
                <w:szCs w:val="19"/>
              </w:rPr>
              <w:t xml:space="preserve">https://deca.netsistemas.com/integracion-erp.html - Flujo recomendado, reglas, errores y puesta en producción.</w:t>
            </w:r>
          </w:p>
        </w:tc>
      </w:tr>
      <w:tr>
        <w:trPr/>
        <w:tc>
          <w:tcPr>
            <w:tcW w:w="31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Swagger UI</w:t>
            </w:r>
          </w:p>
        </w:tc>
        <w:tc>
          <w:tcPr>
            <w:tcW w:w="6100" w:type="dxa"/>
            <w:noWrap/>
          </w:tcPr>
          <w:p>
            <w:pPr/>
            <w:r>
              <w:rPr>
                <w:sz w:val="19"/>
                <w:szCs w:val="19"/>
              </w:rPr>
              <w:t xml:space="preserve">https://deca.netsistemas.com/swagger.html - Esquemas y pruebas reales con el botón Authorize.</w:t>
            </w:r>
          </w:p>
        </w:tc>
      </w:tr>
      <w:tr>
        <w:trPr/>
        <w:tc>
          <w:tcPr>
            <w:tcW w:w="31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Consola guiada</w:t>
            </w:r>
          </w:p>
        </w:tc>
        <w:tc>
          <w:tcPr>
            <w:tcW w:w="6100" w:type="dxa"/>
            <w:noWrap/>
          </w:tcPr>
          <w:p>
            <w:pPr/>
            <w:r>
              <w:rPr>
                <w:sz w:val="19"/>
                <w:szCs w:val="19"/>
              </w:rPr>
              <w:t xml:space="preserve">https://deca.netsistemas.com/api-docs.html - Ejemplos preparados para las operaciones habituales.</w:t>
            </w:r>
          </w:p>
        </w:tc>
      </w:tr>
      <w:tr>
        <w:trPr/>
        <w:tc>
          <w:tcPr>
            <w:tcW w:w="31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OpenAPI 3.0</w:t>
            </w:r>
          </w:p>
        </w:tc>
        <w:tc>
          <w:tcPr>
            <w:tcW w:w="6100" w:type="dxa"/>
            <w:noWrap/>
          </w:tcPr>
          <w:p>
            <w:pPr/>
            <w:r>
              <w:rPr>
                <w:sz w:val="19"/>
                <w:szCs w:val="19"/>
              </w:rPr>
              <w:t xml:space="preserve">https://deca.netsistemas.com/openapi.json - Importable en Postman y herramientas de generación de clientes.</w:t>
            </w:r>
          </w:p>
        </w:tc>
      </w:tr>
      <w:tr>
        <w:trPr/>
        <w:tc>
          <w:tcPr>
            <w:tcW w:w="3100" w:type="dxa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Demo VB.NET + Access</w:t>
            </w:r>
          </w:p>
        </w:tc>
        <w:tc>
          <w:tcPr>
            <w:tcW w:w="6100" w:type="dxa"/>
            <w:noWrap/>
          </w:tcPr>
          <w:p>
            <w:pPr/>
            <w:r>
              <w:rPr>
                <w:sz w:val="19"/>
                <w:szCs w:val="19"/>
              </w:rPr>
              <w:t xml:space="preserve">Descargable desde la guía ERP. Proyecto para Visual Studio .NET Framework 4.8.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Heading2"/>
      </w:pPr>
      <w:bookmarkStart w:id="15" w:name="_Toc15"/>
      <w:r>
        <w:t>8.2. Conexión y autenticación</w:t>
      </w:r>
      <w:bookmarkEnd w:id="15"/>
    </w:p>
    <w:p>
      <w:pPr>
        <w:pStyle w:val="P"/>
        <w:numPr>
          <w:ilvl w:val="0"/>
          <w:numId w:val="6"/>
        </w:numPr>
      </w:pPr>
      <w:r>
        <w:rPr/>
        <w:t xml:space="preserve">Documentos DeCA: https://deca.netsistemas.com/api.php</w:t>
      </w:r>
    </w:p>
    <w:p>
      <w:pPr>
        <w:pStyle w:val="P"/>
        <w:numPr>
          <w:ilvl w:val="0"/>
          <w:numId w:val="6"/>
        </w:numPr>
      </w:pPr>
      <w:r>
        <w:rPr/>
        <w:t xml:space="preserve">Maestros: /api_clientes.php, /api_vehiculos.php y /api_conductores.php.</w:t>
      </w:r>
    </w:p>
    <w:p>
      <w:pPr>
        <w:pStyle w:val="P"/>
        <w:numPr>
          <w:ilvl w:val="0"/>
          <w:numId w:val="6"/>
        </w:numPr>
      </w:pPr>
      <w:r>
        <w:rPr/>
        <w:t xml:space="preserve">Autenticación: cabecera HTTP X-Api-Key: SU-CLAVE en todas las llamadas.</w:t>
      </w:r>
    </w:p>
    <w:p>
      <w:pPr>
        <w:pStyle w:val="P"/>
        <w:numPr>
          <w:ilvl w:val="0"/>
          <w:numId w:val="6"/>
        </w:numPr>
      </w:pPr>
      <w:r>
        <w:rPr/>
        <w:t xml:space="preserve">Formato: JSON en UTF-8. Altas y cambios usan POST; consultas y listados usan GET.</w:t>
      </w:r>
    </w:p>
    <w:p>
      <w:pPr>
        <w:pStyle w:val="P"/>
        <w:numPr>
          <w:ilvl w:val="0"/>
          <w:numId w:val="6"/>
        </w:numPr>
      </w:pPr>
      <w:r>
        <w:rPr/>
        <w:t xml:space="preserve">No incluya la clave en la URL, en el código fuente ni en registros de diagnóstico.</w:t>
      </w:r>
    </w:p>
    <w:p>
      <w:pPr>
        <w:pStyle w:val="Nota"/>
      </w:pPr>
      <w:r>
        <w:rPr>
          <w:color w:val="5B6773"/>
          <w:sz w:val="20"/>
          <w:szCs w:val="20"/>
          <w:i w:val="1"/>
          <w:iCs w:val="1"/>
        </w:rPr>
        <w:t xml:space="preserve">ℹ Swagger y la consola actúan sobre la empresa asociada a la clave. Para ensayos de escritura utilice una clave de pruebas.</w:t>
      </w:r>
    </w:p>
    <w:p>
      <w:pPr>
        <w:pStyle w:val="Heading2"/>
      </w:pPr>
      <w:bookmarkStart w:id="16" w:name="_Toc16"/>
      <w:r>
        <w:t>8.3. Identificación del registro del ERP</w:t>
      </w:r>
      <w:bookmarkEnd w:id="16"/>
    </w:p>
    <w:p>
      <w:pPr>
        <w:pStyle w:val="P"/>
      </w:pPr>
      <w:r>
        <w:rPr/>
        <w:t xml:space="preserve">Se recomienda enviar siempre origenRegistro e idExterno. La pareja identifica de forma única el envío, expedición o albarán del ERP dentro de la empresa. Permite localizar después el DeCA aunque no se haya guardado manualmente su identificador. Repetir la pareja en un alta devuelve HTTP 409.</w:t>
      </w:r>
    </w:p>
    <w:p>
      <w:pPr>
        <w:pStyle w:val="P"/>
        <w:numPr>
          <w:ilvl w:val="0"/>
          <w:numId w:val="6"/>
        </w:numPr>
      </w:pPr>
      <w:r>
        <w:rPr/>
        <w:t xml:space="preserve">origenRegistro: código estable del sistema, por ejemplo ERP_CLIENTE o APP_FLOTA.</w:t>
      </w:r>
    </w:p>
    <w:p>
      <w:pPr>
        <w:pStyle w:val="P"/>
        <w:numPr>
          <w:ilvl w:val="0"/>
          <w:numId w:val="6"/>
        </w:numPr>
      </w:pPr>
      <w:r>
        <w:rPr/>
        <w:t xml:space="preserve">idExterno: referencia estable del registro en ese sistema, por ejemplo EXP-2026-00158.</w:t>
      </w:r>
    </w:p>
    <w:p>
      <w:pPr>
        <w:pStyle w:val="P"/>
        <w:numPr>
          <w:ilvl w:val="0"/>
          <w:numId w:val="6"/>
        </w:numPr>
      </w:pPr>
      <w:r>
        <w:rPr/>
        <w:t xml:space="preserve">Guarde también idDeca y url de la respuesta. La URL es estable y siempre presenta la última versión.</w:t>
      </w:r>
    </w:p>
    <w:p>
      <w:pPr>
        <w:pStyle w:val="Heading2"/>
      </w:pPr>
      <w:bookmarkStart w:id="17" w:name="_Toc17"/>
      <w:r>
        <w:t>8.4. Sincronizar clientes, vehículos y conductores</w:t>
      </w:r>
      <w:bookmarkEnd w:id="17"/>
    </w:p>
    <w:p>
      <w:pPr>
        <w:pStyle w:val="P"/>
      </w:pPr>
      <w:r>
        <w:rPr/>
        <w:t xml:space="preserve">Los maestros son opcionales para crear un documento, pero permiten que el ERP y la aplicación web compartan clientes, matrículas y conductores. La operación recomendada es accion=guardar: la primera llamada crea el registro y las siguientes actualizan el mismo elemento por origenRegistro + idExterno.</w:t>
      </w:r>
    </w:p>
    <w:p>
      <w:pPr>
        <w:pStyle w:val="P"/>
        <w:numPr>
          <w:ilvl w:val="0"/>
          <w:numId w:val="6"/>
        </w:numPr>
      </w:pPr>
      <w:r>
        <w:rPr/>
        <w:t xml:space="preserve">Clientes: POST /api_clientes.php - nombre, nif, domicilio, activo y referencia ERP.</w:t>
      </w:r>
    </w:p>
    <w:p>
      <w:pPr>
        <w:pStyle w:val="P"/>
        <w:numPr>
          <w:ilvl w:val="0"/>
          <w:numId w:val="6"/>
        </w:numPr>
      </w:pPr>
      <w:r>
        <w:rPr/>
        <w:t xml:space="preserve">Vehículos: POST /api_vehiculos.php - matricula, tipo (tractora, remolque, rigido u otro), marca, modelo, activo y referencia ERP.</w:t>
      </w:r>
    </w:p>
    <w:p>
      <w:pPr>
        <w:pStyle w:val="P"/>
        <w:numPr>
          <w:ilvl w:val="0"/>
          <w:numId w:val="6"/>
        </w:numPr>
      </w:pPr>
      <w:r>
        <w:rPr/>
        <w:t xml:space="preserve">Conductores: POST /api_conductores.php - nombre, telefono, activo y referencia ERP.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POST /api_clientes.php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X-Api-Key: SU-CLAVE-DE-API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{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"accion": "guardar",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"nombre": "Harinas Leonesas SL",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"nif": "B24010101",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"domicilio": "Pol. Ind. Leon Oeste 12, Leon",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"origenRegistro": "ERP_EMPRESA",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"idExterno": "CLI-00428"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}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pStyle w:val="P"/>
      </w:pPr>
      <w:r>
        <w:rPr/>
        <w:t xml:space="preserve">Para desactivar un maestro se envía accion=desactivar con su id interno o su referencia ERP. No se borra físicamente, de modo que los documentos históricos siguen siendo coherentes.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/api_clientes.php?activo=1&amp;q=Harinas&amp;limit=50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/api_vehiculos.php?origen=ERP_EMPRESA&amp;idExterno=VEH-00117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/api_conductores.php?id=32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pStyle w:val="Nota"/>
      </w:pPr>
      <w:r>
        <w:rPr>
          <w:color w:val="5B6773"/>
          <w:sz w:val="20"/>
          <w:szCs w:val="20"/>
          <w:i w:val="1"/>
          <w:iCs w:val="1"/>
        </w:rPr>
        <w:t xml:space="preserve">ℹ El DeCA conserva los datos contractuales de cada viaje. Aunque se sincronicen maestros, el alta del documento debe incluir el cargador, las matrículas y las mercancías tal como eran en ese transporte.</w:t>
      </w:r>
    </w:p>
    <w:p>
      <w:pPr>
        <w:pStyle w:val="Heading2"/>
      </w:pPr>
      <w:bookmarkStart w:id="18" w:name="_Toc18"/>
      <w:r>
        <w:t>8.5. Crear un DeCA (POST)</w:t>
      </w:r>
      <w:bookmarkEnd w:id="18"/>
    </w:p>
    <w:p>
      <w:pPr>
        <w:pStyle w:val="P"/>
      </w:pPr>
      <w:r>
        <w:rPr/>
        <w:t xml:space="preserve">El JSON debe incluir accion=crear. Con fechaTransporte se validan los datos obligatorios y se genera el PDF. Sin fecha, el viaje queda no planificado y puede completarse más adelante:</w:t>
      </w:r>
    </w:p>
    <w:tbl>
      <w:tblGrid>
        <w:gridCol w:w="3200" w:type="dxa"/>
        <w:gridCol w:w="6000" w:type="dxa"/>
      </w:tblGrid>
      <w:tblPr>
        <w:tblStyle w:val="T"/>
      </w:tblPr>
      <w:tr>
        <w:trPr>
          <w:tblHeader w:val="1"/>
          <w:cantSplit w:val="1"/>
        </w:trPr>
        <w:tc>
          <w:tcPr>
            <w:tcW w:w="32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Campo</w:t>
            </w:r>
          </w:p>
        </w:tc>
        <w:tc>
          <w:tcPr>
            <w:tcW w:w="60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accion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crear para un alta; actualizar para modificar un documento.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cargadorNombre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Nombre o razón social del cargador contractual.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cargadorNif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NIF del cargador.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cargadorDomicilio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Domicilio del cargador.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transportistaNombre / transportistaNif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Opcionales: si no se envían, se usan los de su ficha de empresa.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origen * / destino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Lugares de origen y destino del envío.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lineas[]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Mercancías: descripción, cantidad, unidad y pesoKg. Con fecha debe enviarse al menos una línea válida.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fechaTransporte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Formato AAAA-MM-DD. Con fecha se genera el PDF; sin ella, viaje futuro.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matriculaTractora *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Matrícula del vehículo tractor.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matriculaRemolque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Opcional (conjunto articulado).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observaciones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Opcional.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numAlbaran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Opcional: nº de albarán. Si se envía, el viaje queda marcado como albaranado.</w:t>
            </w:r>
          </w:p>
        </w:tc>
      </w:tr>
      <w:tr>
        <w:trPr/>
        <w:tc>
          <w:tcPr>
            <w:tcW w:w="3200" w:type="dxa"/>
            <w:noWrap/>
          </w:tcPr>
          <w:p>
            <w:pPr/>
            <w:r>
              <w:rPr>
                <w:rFonts w:ascii="Consolas" w:hAnsi="Consolas" w:eastAsia="Consolas" w:cs="Consolas"/>
                <w:sz w:val="18"/>
                <w:szCs w:val="18"/>
              </w:rPr>
              <w:t xml:space="preserve">origenRegistro / idExterno</w:t>
            </w:r>
          </w:p>
        </w:tc>
        <w:tc>
          <w:tcPr>
            <w:tcW w:w="6000" w:type="dxa"/>
            <w:noWrap/>
          </w:tcPr>
          <w:p>
            <w:pPr/>
            <w:r>
              <w:rPr>
                <w:sz w:val="20"/>
                <w:szCs w:val="20"/>
              </w:rPr>
              <w:t xml:space="preserve">Referencia recomendada para enlazar el documento con el ERP y evitar duplicados.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Heading2"/>
      </w:pPr>
      <w:bookmarkStart w:id="19" w:name="_Toc19"/>
      <w:r>
        <w:t>8.6. Ejemplo completo</w:t>
      </w:r>
      <w:bookmarkEnd w:id="19"/>
    </w:p>
    <w:p>
      <w:pPr>
        <w:pStyle w:val="P"/>
      </w:pPr>
      <w:r>
        <w:rPr/>
        <w:t xml:space="preserve">Petición (ejemplo con curl, válido desde cualquier lenguaje):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curl -X POST https://deca.netsistemas.com/api.php \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-H "Content-Type: application/json; charset=utf-8" \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-H "X-Api-Key: SU-CLAVE-DE-API" \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-d '{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"accion":             "crear",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"cargadorNombre":    "Harinas Leonesas SL",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"cargadorNif":       "B24010101",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"cargadorDomicilio": "Pol. Ind. de Trobajo, nave 12, León",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"origen":            "León",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"destino":           "Valladolid",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"fechaTransporte":   "2026-10-06",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"matriculaTractora": "1234-KLM",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"matriculaRemolque": "R-1122-AA",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"numAlbaran":        "ALB-1001",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"origenRegistro":    "ERP_CLIENTE",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"idExterno":         "EXP-2026-00158",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"lineas": [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  { "descripcion": "Harina paletizada",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    "cantidad": 40, "unidad": "sacos", "pesoKg": 1000 }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 ]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}'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keepNext w:val="1"/>
        <w:spacing w:after="110" w:line="268.8" w:lineRule="auto"/>
      </w:pPr>
      <w:r>
        <w:rPr/>
        <w:t xml:space="preserve">Respuesta (inmediata, con el PDF ya generado):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{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"ok":     true,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"idDeca": 8,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"token":  "6c0dd2571bd9fafe2cfd475cb57e9ecc",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"url":    "https://deca.netsistemas.com/deca.php?t=6c0dd2571bd9...",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"numVersion": 1,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"pdf":    true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}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pStyle w:val="P"/>
      </w:pPr>
      <w:r>
        <w:rPr/>
        <w:t xml:space="preserve">La url es la dirección pública del documento: es la que debe llegar al conductor. Guarde también idDeca. Si el alta no tiene fecha, pdf es false y numVersion es null.</w:t>
      </w:r>
    </w:p>
    <w:p>
      <w:pPr>
        <w:pStyle w:val="Heading2"/>
      </w:pPr>
      <w:bookmarkStart w:id="20" w:name="_Toc20"/>
      <w:r>
        <w:t>8.7. Actualizar, consultar, buscar y listar</w:t>
      </w:r>
      <w:bookmarkEnd w:id="20"/>
    </w:p>
    <w:p>
      <w:pPr>
        <w:pStyle w:val="P"/>
      </w:pPr>
      <w:r>
        <w:rPr/>
        <w:t xml:space="preserve">Actualizar conserva todos los campos que no se envían. Si se incluye lineas, se reemplazan todas las líneas anteriores. Para asignar fecha a un viaje no planificado: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{ "accion": "actualizar", "id": 125,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"fechaTransporte": "2026-08-21",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"matriculaTractora": "7350-LPD",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"lineas": [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{ "descripcion": "Azulejo paletizado",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    "cantidad": 18, "unidad": "palets", "pesoKg": 12600 }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  ] }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pStyle w:val="P"/>
      </w:pPr>
      <w:r>
        <w:rPr/>
        <w:t xml:space="preserve">Consultas GET más habituales:</w:t>
      </w:r>
    </w:p>
    <w:tbl>
      <w:tblGrid>
        <w:gridCol w:w="9200" w:type="dxa"/>
      </w:tblGrid>
      <w:tblPr>
        <w:tblW w:w="5000" w:type="pct"/>
        <w:tblLayout w:type="autofit"/>
        <w:tblCellMar>
          <w:top w:w="110" w:type="dxa"/>
          <w:left w:w="110" w:type="dxa"/>
          <w:right w:w="110" w:type="dxa"/>
          <w:bottom w:w="110" w:type="dxa"/>
        </w:tblCellMar>
        <w:tblBorders>
          <w:top w:val="single" w:sz="4" w:color="24344A"/>
          <w:left w:val="single" w:sz="4" w:color="24344A"/>
          <w:right w:val="single" w:sz="4" w:color="24344A"/>
          <w:bottom w:val="single" w:sz="4" w:color="24344A"/>
          <w:insideH w:val="single" w:sz="4" w:color="24344A"/>
          <w:insideV w:val="single" w:sz="4" w:color="24344A"/>
        </w:tblBorders>
      </w:tblPr>
      <w:tr>
        <w:trPr>
          <w:cantSplit w:val="1"/>
        </w:trPr>
        <w:tc>
          <w:tcPr>
            <w:tcW w:w="9200" w:type="dxa"/>
            <w:shd w:val="clear" w:fill="24344A"/>
            <w:noWrap/>
          </w:tcPr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/api.php?accion=consultar&amp;id=125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/api.php?accion=buscar&amp;origen=ERP_CLIENTE&amp;idExterno=EXP-2026-00158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/api.php?accion=listar&amp;limit=100&amp;offset=0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/api.php?accion=listar&amp;fechaCampo=creacion&amp;fechaDesde=2026-08-01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GET /api.php?accion=listar&amp;noPlanificados=1&amp;fechaCampo=creacion</w:t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/>
            </w:r>
          </w:p>
          <w:p>
            <w:pPr>
              <w:spacing w:after="0"/>
            </w:pPr>
            <w:r>
              <w:rPr>
                <w:rFonts w:ascii="Consolas" w:hAnsi="Consolas" w:eastAsia="Consolas" w:cs="Consolas"/>
                <w:color w:val="D9E2EC"/>
                <w:sz w:val="17"/>
                <w:szCs w:val="17"/>
              </w:rPr>
              <w:t xml:space="preserve">En todas: X-Api-Key: SU-CLAVE-DE-API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pStyle w:val="P"/>
        <w:numPr>
          <w:ilvl w:val="0"/>
          <w:numId w:val="6"/>
        </w:numPr>
      </w:pPr>
      <w:r>
        <w:rPr/>
        <w:t xml:space="preserve">fechaCampo admite creacion, modificacion, registro o transporte.</w:t>
      </w:r>
    </w:p>
    <w:p>
      <w:pPr>
        <w:pStyle w:val="P"/>
        <w:numPr>
          <w:ilvl w:val="0"/>
          <w:numId w:val="6"/>
        </w:numPr>
      </w:pPr>
      <w:r>
        <w:rPr/>
        <w:t xml:space="preserve">fechaDesde y fechaHasta son opcionales e independientes; fechaHasta es inclusiva.</w:t>
      </w:r>
    </w:p>
    <w:p>
      <w:pPr>
        <w:pStyle w:val="P"/>
        <w:numPr>
          <w:ilvl w:val="0"/>
          <w:numId w:val="6"/>
        </w:numPr>
      </w:pPr>
      <w:r>
        <w:rPr/>
        <w:t xml:space="preserve">No combine noPlanificados=1 con fechaCampo=transporte: esos viajes no tienen fecha de viaje.</w:t>
      </w:r>
    </w:p>
    <w:p>
      <w:pPr>
        <w:pStyle w:val="P"/>
        <w:numPr>
          <w:ilvl w:val="0"/>
          <w:numId w:val="6"/>
        </w:numPr>
      </w:pPr>
      <w:r>
        <w:rPr/>
        <w:t xml:space="preserve">limit admite de 1 a 500. Continúe aumentando offset hasta recuperar total registros.</w:t>
      </w:r>
    </w:p>
    <w:p>
      <w:pPr>
        <w:pStyle w:val="Heading2"/>
      </w:pPr>
      <w:bookmarkStart w:id="21" w:name="_Toc21"/>
      <w:r>
        <w:t>8.8. Errores</w:t>
      </w:r>
      <w:bookmarkEnd w:id="21"/>
    </w:p>
    <w:tbl>
      <w:tblGrid>
        <w:gridCol w:w="1700" w:type="dxa"/>
        <w:gridCol w:w="7500" w:type="dxa"/>
      </w:tblGrid>
      <w:tblPr>
        <w:tblStyle w:val="T"/>
      </w:tblPr>
      <w:tr>
        <w:trPr>
          <w:tblHeader w:val="1"/>
          <w:cantSplit w:val="1"/>
        </w:trPr>
        <w:tc>
          <w:tcPr>
            <w:tcW w:w="17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Código</w:t>
            </w:r>
          </w:p>
        </w:tc>
        <w:tc>
          <w:tcPr>
            <w:tcW w:w="7500" w:type="dxa"/>
            <w:shd w:val="clear" w:fill="EEF2F7"/>
            <w:noWrap/>
          </w:tcPr>
          <w:p>
            <w:pPr/>
            <w:r>
              <w:rPr>
                <w:b w:val="1"/>
                <w:bCs w:val="1"/>
              </w:rPr>
              <w:t xml:space="preserve">Significado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201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Maestro creado correctamente. La respuesta incluye creado=true y el registro completo.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400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Datos incorrectos. El campo "error" de la respuesta indica exactamente qué falta o falla.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401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Clave de API ausente o no válida.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403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Suscripción caducada.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404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DeCA no encontrado (en consultas).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409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Ya existe origenRegistro + idExterno. Busque el registro y use actualizar.</w:t>
            </w:r>
          </w:p>
        </w:tc>
      </w:tr>
      <w:tr>
        <w:trPr/>
        <w:tc>
          <w:tcPr>
            <w:tcW w:w="1700" w:type="dxa"/>
            <w:noWrap/>
          </w:tcPr>
          <w:p>
            <w:pPr/>
            <w:r>
              <w:rPr>
                <w:b w:val="1"/>
                <w:bCs w:val="1"/>
              </w:rPr>
              <w:t xml:space="preserve">500</w:t>
            </w:r>
          </w:p>
        </w:tc>
        <w:tc>
          <w:tcPr>
            <w:tcW w:w="7500" w:type="dxa"/>
            <w:noWrap/>
          </w:tcPr>
          <w:p>
            <w:pPr/>
            <w:r>
              <w:rPr>
                <w:sz w:val="20"/>
                <w:szCs w:val="20"/>
              </w:rPr>
              <w:t xml:space="preserve">Error temporal al completar la operación. Registre la respuesta y reintente de forma controlada.</w:t>
            </w:r>
          </w:p>
        </w:tc>
      </w:tr>
    </w:tbl>
    <w:p>
      <w:pPr>
        <w:spacing w:after="80"/>
      </w:pPr>
      <w:r>
        <w:rPr/>
        <w:t xml:space="preserve"/>
      </w:r>
    </w:p>
    <w:p>
      <w:pPr>
        <w:pStyle w:val="Nota"/>
      </w:pPr>
      <w:r>
        <w:rPr>
          <w:color w:val="5B6773"/>
          <w:sz w:val="20"/>
          <w:szCs w:val="20"/>
          <w:i w:val="1"/>
          <w:iCs w:val="1"/>
        </w:rPr>
        <w:t xml:space="preserve">ℹ Si su programa de gestión es Factunet, la integración se la dejamos funcionando nosotros: los DeCA se crearán automáticamente desde sus albaranes.</w:t>
      </w:r>
    </w:p>
    <w:p>
      <w:pPr>
        <w:pStyle w:val="Heading1"/>
      </w:pPr>
      <w:bookmarkStart w:id="22" w:name="_Toc22"/>
      <w:r>
        <w:t>9. Preguntas frecuentes</w:t>
      </w:r>
      <w:bookmarkEnd w:id="22"/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¿La URL del documento caduca?</w:t>
      </w:r>
    </w:p>
    <w:p>
      <w:pPr>
        <w:pStyle w:val="P"/>
      </w:pPr>
      <w:r>
        <w:rPr/>
        <w:t xml:space="preserve">No. Permanece activa durante el plazo de conservación, aunque el viaje esté terminado o anulado.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¿Puedo borrar un viaje?</w:t>
      </w:r>
    </w:p>
    <w:p>
      <w:pPr>
        <w:pStyle w:val="P"/>
      </w:pPr>
      <w:r>
        <w:rPr/>
        <w:t xml:space="preserve">No se borra (la norma exige conservar el histórico): márquelo como Anulado y desaparecerá de las vistas normales.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Modifiqué un viaje ya enviado al conductor, ¿debo reenviárselo?</w:t>
      </w:r>
    </w:p>
    <w:p>
      <w:pPr>
        <w:pStyle w:val="P"/>
      </w:pPr>
      <w:r>
        <w:rPr/>
        <w:t xml:space="preserve">No hace falta: la URL no cambia y siempre entrega la última versión.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¿Qué ve el agente en un control?</w:t>
      </w:r>
    </w:p>
    <w:p>
      <w:pPr>
        <w:pStyle w:val="P"/>
      </w:pPr>
      <w:r>
        <w:rPr/>
        <w:t xml:space="preserve">El PDF oficial con todos los datos, el QR y el registro de fecha y hora de creación y modificación en hora peninsular.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¿Puedo trabajar desde el móvil?</w:t>
      </w:r>
    </w:p>
    <w:p>
      <w:pPr>
        <w:pStyle w:val="P"/>
      </w:pPr>
      <w:r>
        <w:rPr/>
        <w:t xml:space="preserve">Sí, todo: la vista de tarjetas está pensada para ello.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¿Quién guarda copias de seguridad?</w:t>
      </w:r>
    </w:p>
    <w:p>
      <w:pPr>
        <w:pStyle w:val="P"/>
      </w:pPr>
      <w:r>
        <w:rPr/>
        <w:t xml:space="preserve">Usted dispone de Exportar CSV y Descarga masiva ZIP para hacer sus copias. La conservación legal del documento es responsabilidad de la empresa transportista.</w:t>
      </w:r>
    </w:p>
    <w:p>
      <w:pPr>
        <w:keepNext w:val="1"/>
        <w:spacing w:after="30"/>
      </w:pPr>
      <w:r>
        <w:rPr>
          <w:color w:val="34495E"/>
          <w:b w:val="1"/>
          <w:bCs w:val="1"/>
        </w:rPr>
        <w:t xml:space="preserve">He olvidado mi clave.</w:t>
      </w:r>
    </w:p>
    <w:p>
      <w:pPr>
        <w:pStyle w:val="P"/>
      </w:pPr>
      <w:r>
        <w:rPr/>
        <w:t xml:space="preserve">Pídasela al administrador de su empresa (Usuarios → Clave). Si es el administrador, contacte con soporte.</w:t>
      </w:r>
    </w:p>
    <w:p>
      <w:pPr>
        <w:pStyle w:val="Heading1"/>
      </w:pPr>
      <w:bookmarkStart w:id="23" w:name="_Toc23"/>
      <w:r>
        <w:t>10. Soporte y condiciones</w:t>
      </w:r>
      <w:bookmarkEnd w:id="23"/>
    </w:p>
    <w:p>
      <w:pPr>
        <w:pStyle w:val="P"/>
        <w:numPr>
          <w:ilvl w:val="0"/>
          <w:numId w:val="6"/>
        </w:numPr>
      </w:pPr>
      <w:r>
        <w:rPr/>
        <w:t xml:space="preserve">Soporte técnico y comercial: nts@netsistemas.com</w:t>
      </w:r>
    </w:p>
    <w:p>
      <w:pPr>
        <w:pStyle w:val="P"/>
        <w:numPr>
          <w:ilvl w:val="0"/>
          <w:numId w:val="6"/>
        </w:numPr>
      </w:pPr>
      <w:r>
        <w:rPr/>
        <w:t xml:space="preserve">Aviso legal, política de privacidad y condiciones del servicio: https://deca.netsistemas.com/legal.php</w:t>
      </w:r>
    </w:p>
    <w:p>
      <w:pPr>
        <w:pStyle w:val="P"/>
        <w:numPr>
          <w:ilvl w:val="0"/>
          <w:numId w:val="6"/>
        </w:numPr>
      </w:pPr>
      <w:r>
        <w:rPr/>
        <w:t xml:space="preserve">Desarrollado por NETSISTEMAS.COM. Distribuidor: JMJ (jmj.es).</w:t>
      </w:r>
    </w:p>
    <w:sectPr>
      <w:footerReference w:type="default" r:id="rId7"/>
      <w:pgSz w:orient="portrait" w:w="11906" w:h="16838"/>
      <w:pgMar w:top="1200" w:right="1300" w:bottom="120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5B6773"/>
        <w:sz w:val="16"/>
        <w:szCs w:val="16"/>
      </w:rPr>
      <w:t xml:space="preserve">DeCAfácil · Manual de uso — Página </w:t>
    </w:r>
    <w:r>
      <w:fldChar w:fldCharType="begin"/>
    </w:r>
    <w:r>
      <w:rPr>
        <w:color w:val="5B6773"/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color w:val="5B6773"/>
        <w:sz w:val="16"/>
        <w:szCs w:val="16"/>
      </w:rPr>
      <w:t xml:space="preserve"> de </w:t>
    </w:r>
    <w:r>
      <w:fldChar w:fldCharType="begin"/>
    </w:r>
    <w:r>
      <w:rPr>
        <w:color w:val="5B6773"/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51C91F9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360" w:hanging="200"/>
      </w:pPr>
      <w:rPr>
        <w:rFonts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s-E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s-E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360" w:after="140"/>
    </w:pPr>
    <w:rPr>
      <w:color w:val="34495E"/>
      <w:sz w:val="34"/>
      <w:szCs w:val="34"/>
      <w:b w:val="1"/>
      <w:bC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color w:val="E67E22"/>
      <w:sz w:val="26"/>
      <w:szCs w:val="26"/>
      <w:b w:val="1"/>
      <w:bCs w:val="1"/>
    </w:rPr>
  </w:style>
  <w:style w:type="paragraph" w:customStyle="1" w:styleId="P">
    <w:name w:val="P"/>
    <w:basedOn w:val="Normal"/>
    <w:pPr>
      <w:spacing w:after="110" w:line="268.8" w:lineRule="auto"/>
    </w:pPr>
  </w:style>
  <w:style w:type="paragraph" w:customStyle="1" w:styleId="Nota">
    <w:name w:val="Nota"/>
    <w:basedOn w:val="Normal"/>
    <w:pPr>
      <w:spacing w:after="110" w:line="264" w:lineRule="auto"/>
    </w:pPr>
  </w:style>
  <w:style w:type="character">
    <w:name w:val="NotaF"/>
    <w:rPr>
      <w:color w:val="5B6773"/>
      <w:sz w:val="20"/>
      <w:szCs w:val="20"/>
      <w:i w:val="1"/>
      <w:iCs w:val="1"/>
    </w:rPr>
  </w:style>
  <w:style w:type="table" w:customStyle="1" w:styleId="T">
    <w:name w:val="T"/>
    <w:uiPriority w:val="99"/>
    <w:tblPr>
      <w:tblW w:w="5000" w:type="pct"/>
      <w:tblLayout w:type="autofit"/>
      <w:tblCellMar>
        <w:top w:w="70" w:type="dxa"/>
        <w:left w:w="70" w:type="dxa"/>
        <w:right w:w="70" w:type="dxa"/>
        <w:bottom w:w="70" w:type="dxa"/>
      </w:tblCellMar>
      <w:tblBorders>
        <w:top w:val="single" w:sz="4" w:color="C4CCD4"/>
        <w:left w:val="single" w:sz="4" w:color="C4CCD4"/>
        <w:right w:val="single" w:sz="4" w:color="C4CCD4"/>
        <w:bottom w:val="single" w:sz="4" w:color="C4CCD4"/>
        <w:insideH w:val="single" w:sz="4" w:color="C4CCD4"/>
        <w:insideV w:val="single" w:sz="4" w:color="C4CCD4"/>
      </w:tblBorders>
    </w:tblPr>
    <w:tblStylePr w:type="firstRow">
      <w:tcPr>
        <w:tcPr>
          <w:shd w:val="clear" w:fill="EEF2F7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NETSISTEMAS.COM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DeCAfacil - Manual de uso e integracion ERP</dc:title>
  <dc:description/>
  <dc:subject>Uso de la aplicacion web e integracion mediante API REST</dc:subject>
  <cp:keywords/>
  <cp:category/>
  <cp:lastModifiedBy/>
  <dcterms:created xsi:type="dcterms:W3CDTF">2026-08-13T09:45:56+02:00</dcterms:created>
  <dcterms:modified xsi:type="dcterms:W3CDTF">2026-08-13T09:45:56+02:00</dcterms:modified>
</cp:coreProperties>
</file>